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Other Good Articles on Harkness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“To  Harkness or Not to Harkness”: Boarding School Review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https://www.boardingschoolreview.com/amp/blog/to-harkness-or-not-to-harkness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“Introducing and Using Discussion</w:t>
      </w:r>
      <w:r w:rsidDel="00000000" w:rsidR="00000000" w:rsidRPr="00000000">
        <w:rPr>
          <w:rFonts w:ascii="Cambria" w:cs="Cambria" w:eastAsia="Cambria" w:hAnsi="Cambria"/>
          <w:b w:val="1"/>
          <w:color w:val="002e40"/>
          <w:sz w:val="20"/>
          <w:szCs w:val="20"/>
          <w:rtl w:val="0"/>
        </w:rPr>
        <w:t xml:space="preserve">Discussion (AKA Harkness)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https://www.nais.org/magazine/independent-teacher/fall-2008/introducing-and-using-the-discussion-(aka-harkness/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oardingschoolreview.com/amp/blog/to-harkness-or-not-to-harkness" TargetMode="External"/><Relationship Id="rId7" Type="http://schemas.openxmlformats.org/officeDocument/2006/relationships/hyperlink" Target="https://www.nais.org/magazine/independent-teacher/fall-2008/introducing-and-using-the-discussion-(aka-hark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